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1069DBD7" w14:textId="45AAEB52" w:rsidR="00B13FA1" w:rsidRPr="00BC4D5E" w:rsidRDefault="00B13FA1" w:rsidP="00533447">
      <w:pPr>
        <w:rPr>
          <w:rFonts w:cstheme="minorHAnsi"/>
          <w:i/>
          <w:iCs/>
        </w:rPr>
      </w:pPr>
      <w:r w:rsidRPr="00541D8C">
        <w:rPr>
          <w:rFonts w:cstheme="minorHAnsi"/>
          <w:i/>
          <w:iCs/>
        </w:rPr>
        <w:t>PLZ-Ort</w:t>
      </w: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4EC2D797"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80723E">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4C3B2185" w14:textId="0DEA53D4" w:rsidR="002D2307" w:rsidRPr="00A3466A" w:rsidRDefault="00A5787B" w:rsidP="002D2307">
      <w:pPr>
        <w:pStyle w:val="StandardWeb"/>
        <w:rPr>
          <w:rFonts w:asciiTheme="minorHAnsi" w:hAnsiTheme="minorHAnsi" w:cstheme="minorHAnsi"/>
          <w:b/>
          <w:bCs/>
          <w:sz w:val="28"/>
          <w:szCs w:val="28"/>
          <w:u w:val="single"/>
        </w:rPr>
      </w:pPr>
      <w:r w:rsidRPr="00A3466A">
        <w:rPr>
          <w:rFonts w:asciiTheme="minorHAnsi" w:hAnsiTheme="minorHAnsi" w:cstheme="minorHAnsi"/>
          <w:b/>
          <w:bCs/>
          <w:sz w:val="28"/>
          <w:szCs w:val="28"/>
          <w:u w:val="single"/>
        </w:rPr>
        <w:t xml:space="preserve">Thema: </w:t>
      </w:r>
      <w:r w:rsidR="003D167F" w:rsidRPr="00A3466A">
        <w:rPr>
          <w:rFonts w:asciiTheme="minorHAnsi" w:hAnsiTheme="minorHAnsi" w:cstheme="minorHAnsi"/>
          <w:b/>
          <w:bCs/>
          <w:sz w:val="28"/>
          <w:szCs w:val="28"/>
          <w:u w:val="single"/>
        </w:rPr>
        <w:t>Risiken durch Havarien von Windkraftanlagen in Waldgebieten und ökologische Folgen</w:t>
      </w:r>
    </w:p>
    <w:p w14:paraId="712284F0" w14:textId="79220E9A"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3D167F" w:rsidRDefault="003D167F" w:rsidP="003D167F">
      <w:pPr>
        <w:pStyle w:val="StandardWeb"/>
        <w:rPr>
          <w:rFonts w:asciiTheme="minorHAnsi" w:hAnsiTheme="minorHAnsi" w:cstheme="minorHAnsi"/>
          <w:sz w:val="22"/>
          <w:szCs w:val="22"/>
        </w:rPr>
      </w:pPr>
      <w:r w:rsidRPr="003D167F">
        <w:rPr>
          <w:rFonts w:asciiTheme="minorHAnsi" w:hAnsiTheme="minorHAnsi" w:cstheme="minorHAnsi"/>
          <w:sz w:val="22"/>
          <w:szCs w:val="22"/>
        </w:rPr>
        <w:t>Sehr geehrte Damen und Herren,</w:t>
      </w:r>
    </w:p>
    <w:p w14:paraId="3FC7AEF5" w14:textId="77777777" w:rsidR="003D167F" w:rsidRPr="003D167F" w:rsidRDefault="003D167F" w:rsidP="003D167F">
      <w:pPr>
        <w:pStyle w:val="StandardWeb"/>
        <w:rPr>
          <w:rFonts w:asciiTheme="minorHAnsi" w:hAnsiTheme="minorHAnsi" w:cstheme="minorHAnsi"/>
          <w:sz w:val="22"/>
          <w:szCs w:val="22"/>
        </w:rPr>
      </w:pPr>
      <w:r w:rsidRPr="003D167F">
        <w:rPr>
          <w:rFonts w:asciiTheme="minorHAnsi" w:hAnsiTheme="minorHAnsi" w:cstheme="minorHAnsi"/>
          <w:sz w:val="22"/>
          <w:szCs w:val="22"/>
        </w:rPr>
        <w:t>hiermit erhebe ich Einwendungen gegen die geplanten Windkraftprojekte in der Region 10 Ingolstadt, da insbesondere die Gefahr von Havarien in Waldgebieten und deren schwerwiegende ökologische Folgen nicht ausreichend berücksichtigt wurden. Der Betrieb von Windkraftanlagen in bewaldeten Gebieten birgt erhebliche Risiken für die Umwelt, insbesondere in Bezug auf Brände, auslaufende Betriebsstoffe und mechanische Defekte, die das Ökosystem langfristig schädigen können. Meine Einwände begründe ich wie folgt:</w:t>
      </w:r>
    </w:p>
    <w:p w14:paraId="6A8FC425" w14:textId="77777777" w:rsidR="003D167F" w:rsidRPr="003D167F" w:rsidRDefault="003D167F" w:rsidP="003D167F">
      <w:pPr>
        <w:pStyle w:val="StandardWeb"/>
        <w:numPr>
          <w:ilvl w:val="0"/>
          <w:numId w:val="25"/>
        </w:numPr>
        <w:rPr>
          <w:rFonts w:asciiTheme="minorHAnsi" w:hAnsiTheme="minorHAnsi" w:cstheme="minorHAnsi"/>
          <w:sz w:val="22"/>
          <w:szCs w:val="22"/>
        </w:rPr>
      </w:pPr>
      <w:r w:rsidRPr="003D167F">
        <w:rPr>
          <w:rStyle w:val="Fett"/>
          <w:rFonts w:asciiTheme="minorHAnsi" w:hAnsiTheme="minorHAnsi" w:cstheme="minorHAnsi"/>
          <w:sz w:val="22"/>
          <w:szCs w:val="22"/>
        </w:rPr>
        <w:t>Erhöhte Brandgefahr und unkontrollierbare Waldbrände</w:t>
      </w:r>
      <w:r w:rsidRPr="003D167F">
        <w:rPr>
          <w:rFonts w:asciiTheme="minorHAnsi" w:hAnsiTheme="minorHAnsi" w:cstheme="minorHAnsi"/>
          <w:sz w:val="22"/>
          <w:szCs w:val="22"/>
        </w:rPr>
        <w:br/>
        <w:t>Technische Defekte oder Blitzschläge können Brände in Windkraftanlagen auslösen, die sich in waldreichen Gebieten schnell ausbreiten. Löscharbeiten sind aufgrund der Höhe der Anlagen stark erschwert, sodass sich ein Feuer unkontrolliert ausbreiten kann. Die Zerstörung großer Waldflächen durch Brände hätte schwerwiegende Folgen für das Klima, die Biodiversität und die Luftqualität.</w:t>
      </w:r>
    </w:p>
    <w:p w14:paraId="2864AE43" w14:textId="77777777" w:rsidR="003D167F" w:rsidRPr="003D167F" w:rsidRDefault="003D167F" w:rsidP="003D167F">
      <w:pPr>
        <w:pStyle w:val="StandardWeb"/>
        <w:numPr>
          <w:ilvl w:val="0"/>
          <w:numId w:val="25"/>
        </w:numPr>
        <w:rPr>
          <w:rFonts w:asciiTheme="minorHAnsi" w:hAnsiTheme="minorHAnsi" w:cstheme="minorHAnsi"/>
          <w:sz w:val="22"/>
          <w:szCs w:val="22"/>
        </w:rPr>
      </w:pPr>
      <w:r w:rsidRPr="003D167F">
        <w:rPr>
          <w:rStyle w:val="Fett"/>
          <w:rFonts w:asciiTheme="minorHAnsi" w:hAnsiTheme="minorHAnsi" w:cstheme="minorHAnsi"/>
          <w:sz w:val="22"/>
          <w:szCs w:val="22"/>
        </w:rPr>
        <w:t>Gefahr durch auslaufende Schadstoffe und Grundwasserkontamination</w:t>
      </w:r>
      <w:r w:rsidRPr="003D167F">
        <w:rPr>
          <w:rFonts w:asciiTheme="minorHAnsi" w:hAnsiTheme="minorHAnsi" w:cstheme="minorHAnsi"/>
          <w:sz w:val="22"/>
          <w:szCs w:val="22"/>
        </w:rPr>
        <w:br/>
        <w:t xml:space="preserve">Eine Havarie oder ein technischer Defekt kann zum Austritt von Schmierölen, Hydraulikflüssigkeiten und anderen Schadstoffen führen, die in den Waldboden und das Grundwasser gelangen. Besonders in Wasserschutzgebieten stellt dies eine ernsthafte Bedrohung für die Trinkwasserversorgung dar. Laut Wasserhaushaltsgesetz (§ 47 WHG) sind Grundwasser und andere Gewässer vor schädlichen Einflüssen zu schützen. Der Bericht „Havarie-Risiken und Gefährdungsbeurteilungen im Wasserschutzgebiet“ von </w:t>
      </w:r>
      <w:proofErr w:type="spellStart"/>
      <w:r w:rsidRPr="003D167F">
        <w:rPr>
          <w:rFonts w:asciiTheme="minorHAnsi" w:hAnsiTheme="minorHAnsi" w:cstheme="minorHAnsi"/>
          <w:sz w:val="22"/>
          <w:szCs w:val="22"/>
        </w:rPr>
        <w:t>Timmo</w:t>
      </w:r>
      <w:proofErr w:type="spellEnd"/>
      <w:r w:rsidRPr="003D167F">
        <w:rPr>
          <w:rFonts w:asciiTheme="minorHAnsi" w:hAnsiTheme="minorHAnsi" w:cstheme="minorHAnsi"/>
          <w:sz w:val="22"/>
          <w:szCs w:val="22"/>
        </w:rPr>
        <w:t xml:space="preserve"> </w:t>
      </w:r>
      <w:proofErr w:type="spellStart"/>
      <w:r w:rsidRPr="003D167F">
        <w:rPr>
          <w:rFonts w:asciiTheme="minorHAnsi" w:hAnsiTheme="minorHAnsi" w:cstheme="minorHAnsi"/>
          <w:sz w:val="22"/>
          <w:szCs w:val="22"/>
        </w:rPr>
        <w:t>Seebo</w:t>
      </w:r>
      <w:proofErr w:type="spellEnd"/>
      <w:r w:rsidRPr="003D167F">
        <w:rPr>
          <w:rFonts w:asciiTheme="minorHAnsi" w:hAnsiTheme="minorHAnsi" w:cstheme="minorHAnsi"/>
          <w:sz w:val="22"/>
          <w:szCs w:val="22"/>
        </w:rPr>
        <w:t xml:space="preserve"> bestätigt die erheblichen Risiken durch Schadstoffeinträge bei Windkraftanlagen.</w:t>
      </w:r>
    </w:p>
    <w:p w14:paraId="397E0C9E" w14:textId="77777777" w:rsidR="003D167F" w:rsidRPr="003D167F" w:rsidRDefault="003D167F" w:rsidP="003D167F">
      <w:pPr>
        <w:pStyle w:val="StandardWeb"/>
        <w:numPr>
          <w:ilvl w:val="0"/>
          <w:numId w:val="25"/>
        </w:numPr>
        <w:rPr>
          <w:rFonts w:asciiTheme="minorHAnsi" w:hAnsiTheme="minorHAnsi" w:cstheme="minorHAnsi"/>
          <w:sz w:val="22"/>
          <w:szCs w:val="22"/>
        </w:rPr>
      </w:pPr>
      <w:r w:rsidRPr="003D167F">
        <w:rPr>
          <w:rStyle w:val="Fett"/>
          <w:rFonts w:asciiTheme="minorHAnsi" w:hAnsiTheme="minorHAnsi" w:cstheme="minorHAnsi"/>
          <w:sz w:val="22"/>
          <w:szCs w:val="22"/>
        </w:rPr>
        <w:lastRenderedPageBreak/>
        <w:t>Mechanische Defekte und Gefährdung der Tierwelt</w:t>
      </w:r>
      <w:r w:rsidRPr="003D167F">
        <w:rPr>
          <w:rFonts w:asciiTheme="minorHAnsi" w:hAnsiTheme="minorHAnsi" w:cstheme="minorHAnsi"/>
          <w:sz w:val="22"/>
          <w:szCs w:val="22"/>
        </w:rPr>
        <w:br/>
        <w:t>Rotorblattabbrüche oder Turmhavarien stellen nicht nur eine Gefahr für Menschen und Infrastruktur dar, sondern gefährden auch die Tierwelt im Wald. Trümmerteile können große Flächen kontaminieren und Tierhabitate zerstören. Besonders betroffen sind Fledermäuse, Greifvögel und andere Waldtiere, deren Lebensräume durch solche Unfälle langfristig beeinträchtigt werden.</w:t>
      </w:r>
    </w:p>
    <w:p w14:paraId="33B6DFCB" w14:textId="77777777" w:rsidR="003D167F" w:rsidRPr="003D167F" w:rsidRDefault="003D167F" w:rsidP="003D167F">
      <w:pPr>
        <w:pStyle w:val="StandardWeb"/>
        <w:numPr>
          <w:ilvl w:val="0"/>
          <w:numId w:val="25"/>
        </w:numPr>
        <w:rPr>
          <w:rFonts w:asciiTheme="minorHAnsi" w:hAnsiTheme="minorHAnsi" w:cstheme="minorHAnsi"/>
          <w:sz w:val="22"/>
          <w:szCs w:val="22"/>
        </w:rPr>
      </w:pPr>
      <w:r w:rsidRPr="003D167F">
        <w:rPr>
          <w:rStyle w:val="Fett"/>
          <w:rFonts w:asciiTheme="minorHAnsi" w:hAnsiTheme="minorHAnsi" w:cstheme="minorHAnsi"/>
          <w:sz w:val="22"/>
          <w:szCs w:val="22"/>
        </w:rPr>
        <w:t>Fehlende Notfallkonzepte und unzureichende Sicherheitsmaßnahmen</w:t>
      </w:r>
      <w:r w:rsidRPr="003D167F">
        <w:rPr>
          <w:rFonts w:asciiTheme="minorHAnsi" w:hAnsiTheme="minorHAnsi" w:cstheme="minorHAnsi"/>
          <w:sz w:val="22"/>
          <w:szCs w:val="22"/>
        </w:rPr>
        <w:br/>
        <w:t>Der Betrieb von Windkraftanlagen in Wäldern erfordert spezielle Sicherheitsmaßnahmen, um auf Havarien angemessen reagieren zu können. Derzeit fehlen jedoch detaillierte Notfallkonzepte für Feuerwehren und Umweltbehörden, um im Ernstfall schnell handeln zu können. Dies erhöht das Risiko von Langzeitschäden für die Umwelt erheblich.</w:t>
      </w:r>
    </w:p>
    <w:p w14:paraId="09B432C9" w14:textId="77777777" w:rsidR="003D167F" w:rsidRPr="003D167F" w:rsidRDefault="003D167F" w:rsidP="003D167F">
      <w:pPr>
        <w:pStyle w:val="StandardWeb"/>
        <w:numPr>
          <w:ilvl w:val="0"/>
          <w:numId w:val="25"/>
        </w:numPr>
        <w:rPr>
          <w:rFonts w:asciiTheme="minorHAnsi" w:hAnsiTheme="minorHAnsi" w:cstheme="minorHAnsi"/>
          <w:sz w:val="22"/>
          <w:szCs w:val="22"/>
        </w:rPr>
      </w:pPr>
      <w:r w:rsidRPr="003D167F">
        <w:rPr>
          <w:rStyle w:val="Fett"/>
          <w:rFonts w:asciiTheme="minorHAnsi" w:hAnsiTheme="minorHAnsi" w:cstheme="minorHAnsi"/>
          <w:sz w:val="22"/>
          <w:szCs w:val="22"/>
        </w:rPr>
        <w:t>Forderung nach Ausschluss von Windkraftanlagen aus waldreichen Gebieten</w:t>
      </w:r>
      <w:r w:rsidRPr="003D167F">
        <w:rPr>
          <w:rFonts w:asciiTheme="minorHAnsi" w:hAnsiTheme="minorHAnsi" w:cstheme="minorHAnsi"/>
          <w:sz w:val="22"/>
          <w:szCs w:val="22"/>
        </w:rPr>
        <w:br/>
        <w:t>Aufgrund der erheblichen Risiken fordere ich den Ausschluss von Windkraftanlagen aus Waldgebieten, insbesondere in ökologisch sensiblen und wasserschutzrechtlich relevanten Regionen. Stattdessen sollten alternative Standorte auf bereits versiegelten Flächen in Betracht gezogen werden, um das Risiko für Umwelt und Trinkwasserversorgung zu minimieren.</w:t>
      </w:r>
    </w:p>
    <w:p w14:paraId="610CF9CC" w14:textId="77777777" w:rsidR="003D167F" w:rsidRPr="003D167F" w:rsidRDefault="003D167F" w:rsidP="003D167F">
      <w:pPr>
        <w:pStyle w:val="StandardWeb"/>
        <w:rPr>
          <w:rFonts w:asciiTheme="minorHAnsi" w:hAnsiTheme="minorHAnsi" w:cstheme="minorHAnsi"/>
          <w:sz w:val="22"/>
          <w:szCs w:val="22"/>
        </w:rPr>
      </w:pPr>
      <w:r w:rsidRPr="003D167F">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49D7EA77" w14:textId="77777777" w:rsidR="003D167F" w:rsidRPr="003D167F" w:rsidRDefault="003D167F" w:rsidP="003D167F">
      <w:pPr>
        <w:pStyle w:val="StandardWeb"/>
        <w:rPr>
          <w:rFonts w:asciiTheme="minorHAnsi" w:hAnsiTheme="minorHAnsi" w:cstheme="minorHAnsi"/>
          <w:sz w:val="22"/>
          <w:szCs w:val="22"/>
        </w:rPr>
      </w:pPr>
      <w:r w:rsidRPr="003D167F">
        <w:rPr>
          <w:rFonts w:asciiTheme="minorHAnsi" w:hAnsiTheme="minorHAnsi" w:cstheme="minorHAnsi"/>
          <w:sz w:val="22"/>
          <w:szCs w:val="22"/>
        </w:rPr>
        <w:t>Mit freundlichen Grüßen</w:t>
      </w:r>
    </w:p>
    <w:p w14:paraId="7B4AAB86" w14:textId="77777777" w:rsidR="003D167F" w:rsidRPr="003D167F" w:rsidRDefault="003D167F" w:rsidP="003D167F">
      <w:pPr>
        <w:pStyle w:val="StandardWeb"/>
        <w:rPr>
          <w:rFonts w:asciiTheme="minorHAnsi" w:hAnsiTheme="minorHAnsi" w:cstheme="minorHAnsi"/>
          <w:sz w:val="22"/>
          <w:szCs w:val="22"/>
        </w:rPr>
      </w:pPr>
      <w:r w:rsidRPr="003D167F">
        <w:rPr>
          <w:rFonts w:asciiTheme="minorHAnsi" w:hAnsiTheme="minorHAnsi" w:cstheme="minorHAnsi"/>
          <w:sz w:val="22"/>
          <w:szCs w:val="22"/>
        </w:rPr>
        <w:t>[Unterschrift]</w:t>
      </w:r>
      <w:r w:rsidRPr="003D167F">
        <w:rPr>
          <w:rFonts w:asciiTheme="minorHAnsi" w:hAnsiTheme="minorHAnsi" w:cstheme="minorHAnsi"/>
          <w:sz w:val="22"/>
          <w:szCs w:val="22"/>
        </w:rPr>
        <w:br/>
        <w:t>Vorname Nachname</w:t>
      </w:r>
    </w:p>
    <w:p w14:paraId="4063C97D" w14:textId="77777777" w:rsidR="003D167F" w:rsidRDefault="003D167F" w:rsidP="003D167F">
      <w:pPr>
        <w:pStyle w:val="StandardWeb"/>
        <w:rPr>
          <w:rStyle w:val="Fett"/>
          <w:rFonts w:asciiTheme="minorHAnsi" w:hAnsiTheme="minorHAnsi" w:cstheme="minorHAnsi"/>
          <w:sz w:val="22"/>
          <w:szCs w:val="22"/>
        </w:rPr>
      </w:pPr>
    </w:p>
    <w:p w14:paraId="5E474219" w14:textId="6097F375" w:rsidR="003D167F" w:rsidRPr="003D167F" w:rsidRDefault="003D167F" w:rsidP="003D167F">
      <w:pPr>
        <w:pStyle w:val="StandardWeb"/>
        <w:rPr>
          <w:rFonts w:asciiTheme="minorHAnsi" w:hAnsiTheme="minorHAnsi" w:cstheme="minorHAnsi"/>
          <w:sz w:val="22"/>
          <w:szCs w:val="22"/>
        </w:rPr>
      </w:pPr>
      <w:r w:rsidRPr="003D167F">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3"/>
        <w:gridCol w:w="6759"/>
      </w:tblGrid>
      <w:tr w:rsidR="003D167F" w:rsidRPr="003D167F" w14:paraId="2BA97785" w14:textId="77777777" w:rsidTr="003D167F">
        <w:trPr>
          <w:tblHeader/>
          <w:tblCellSpacing w:w="15" w:type="dxa"/>
        </w:trPr>
        <w:tc>
          <w:tcPr>
            <w:tcW w:w="0" w:type="auto"/>
            <w:vAlign w:val="center"/>
            <w:hideMark/>
          </w:tcPr>
          <w:p w14:paraId="6EBF9205" w14:textId="77777777" w:rsidR="003D167F" w:rsidRPr="003D167F" w:rsidRDefault="003D167F">
            <w:pPr>
              <w:jc w:val="center"/>
              <w:rPr>
                <w:rFonts w:cstheme="minorHAnsi"/>
                <w:b/>
                <w:bCs/>
              </w:rPr>
            </w:pPr>
            <w:r w:rsidRPr="003D167F">
              <w:rPr>
                <w:rFonts w:cstheme="minorHAnsi"/>
                <w:b/>
                <w:bCs/>
              </w:rPr>
              <w:t>Quelle</w:t>
            </w:r>
          </w:p>
        </w:tc>
        <w:tc>
          <w:tcPr>
            <w:tcW w:w="0" w:type="auto"/>
            <w:vAlign w:val="center"/>
            <w:hideMark/>
          </w:tcPr>
          <w:p w14:paraId="4651BAF5" w14:textId="77777777" w:rsidR="003D167F" w:rsidRPr="003D167F" w:rsidRDefault="003D167F">
            <w:pPr>
              <w:jc w:val="center"/>
              <w:rPr>
                <w:rFonts w:cstheme="minorHAnsi"/>
                <w:b/>
                <w:bCs/>
              </w:rPr>
            </w:pPr>
            <w:r w:rsidRPr="003D167F">
              <w:rPr>
                <w:rFonts w:cstheme="minorHAnsi"/>
                <w:b/>
                <w:bCs/>
              </w:rPr>
              <w:t>Titel</w:t>
            </w:r>
          </w:p>
        </w:tc>
      </w:tr>
      <w:tr w:rsidR="003D167F" w:rsidRPr="003D167F" w14:paraId="5C0E7993" w14:textId="77777777" w:rsidTr="003D167F">
        <w:trPr>
          <w:tblCellSpacing w:w="15" w:type="dxa"/>
        </w:trPr>
        <w:tc>
          <w:tcPr>
            <w:tcW w:w="0" w:type="auto"/>
            <w:vAlign w:val="center"/>
            <w:hideMark/>
          </w:tcPr>
          <w:p w14:paraId="1F5AF0BA" w14:textId="77777777" w:rsidR="003D167F" w:rsidRPr="003D167F" w:rsidRDefault="003D167F">
            <w:pPr>
              <w:rPr>
                <w:rFonts w:cstheme="minorHAnsi"/>
              </w:rPr>
            </w:pPr>
            <w:r w:rsidRPr="003D167F">
              <w:rPr>
                <w:rFonts w:cstheme="minorHAnsi"/>
              </w:rPr>
              <w:t>Umweltbericht RP 10</w:t>
            </w:r>
          </w:p>
        </w:tc>
        <w:tc>
          <w:tcPr>
            <w:tcW w:w="0" w:type="auto"/>
            <w:vAlign w:val="center"/>
            <w:hideMark/>
          </w:tcPr>
          <w:p w14:paraId="7ED1C704" w14:textId="77777777" w:rsidR="003D167F" w:rsidRPr="003D167F" w:rsidRDefault="003D167F">
            <w:pPr>
              <w:rPr>
                <w:rFonts w:cstheme="minorHAnsi"/>
              </w:rPr>
            </w:pPr>
            <w:r w:rsidRPr="003D167F">
              <w:rPr>
                <w:rFonts w:cstheme="minorHAnsi"/>
              </w:rPr>
              <w:t>Umweltbewertung der Vorrangflächen</w:t>
            </w:r>
          </w:p>
        </w:tc>
      </w:tr>
      <w:tr w:rsidR="003D167F" w:rsidRPr="003D167F" w14:paraId="63F173F9" w14:textId="77777777" w:rsidTr="003D167F">
        <w:trPr>
          <w:tblCellSpacing w:w="15" w:type="dxa"/>
        </w:trPr>
        <w:tc>
          <w:tcPr>
            <w:tcW w:w="0" w:type="auto"/>
            <w:vAlign w:val="center"/>
            <w:hideMark/>
          </w:tcPr>
          <w:p w14:paraId="325AE574" w14:textId="77777777" w:rsidR="003D167F" w:rsidRPr="003D167F" w:rsidRDefault="003D167F">
            <w:pPr>
              <w:rPr>
                <w:rFonts w:cstheme="minorHAnsi"/>
              </w:rPr>
            </w:pPr>
            <w:r w:rsidRPr="003D167F">
              <w:rPr>
                <w:rFonts w:cstheme="minorHAnsi"/>
              </w:rPr>
              <w:t>Wasserhaushaltsgesetz (WHG)</w:t>
            </w:r>
          </w:p>
        </w:tc>
        <w:tc>
          <w:tcPr>
            <w:tcW w:w="0" w:type="auto"/>
            <w:vAlign w:val="center"/>
            <w:hideMark/>
          </w:tcPr>
          <w:p w14:paraId="64215FF1" w14:textId="77777777" w:rsidR="003D167F" w:rsidRPr="003D167F" w:rsidRDefault="003D167F">
            <w:pPr>
              <w:rPr>
                <w:rFonts w:cstheme="minorHAnsi"/>
              </w:rPr>
            </w:pPr>
            <w:r w:rsidRPr="003D167F">
              <w:rPr>
                <w:rFonts w:cstheme="minorHAnsi"/>
              </w:rPr>
              <w:t>§ 47 Schutz des Grundwassers</w:t>
            </w:r>
          </w:p>
        </w:tc>
      </w:tr>
      <w:tr w:rsidR="003D167F" w:rsidRPr="003D167F" w14:paraId="193B522A" w14:textId="77777777" w:rsidTr="003D167F">
        <w:trPr>
          <w:tblCellSpacing w:w="15" w:type="dxa"/>
        </w:trPr>
        <w:tc>
          <w:tcPr>
            <w:tcW w:w="0" w:type="auto"/>
            <w:vAlign w:val="center"/>
            <w:hideMark/>
          </w:tcPr>
          <w:p w14:paraId="40FAF14C" w14:textId="77777777" w:rsidR="003D167F" w:rsidRPr="003D167F" w:rsidRDefault="003D167F">
            <w:pPr>
              <w:rPr>
                <w:rFonts w:cstheme="minorHAnsi"/>
              </w:rPr>
            </w:pPr>
            <w:r w:rsidRPr="003D167F">
              <w:rPr>
                <w:rFonts w:cstheme="minorHAnsi"/>
              </w:rPr>
              <w:t>Bundesnaturschutzgesetz (BNatSchG)</w:t>
            </w:r>
          </w:p>
        </w:tc>
        <w:tc>
          <w:tcPr>
            <w:tcW w:w="0" w:type="auto"/>
            <w:vAlign w:val="center"/>
            <w:hideMark/>
          </w:tcPr>
          <w:p w14:paraId="7607C247" w14:textId="77777777" w:rsidR="003D167F" w:rsidRPr="003D167F" w:rsidRDefault="003D167F">
            <w:pPr>
              <w:rPr>
                <w:rFonts w:cstheme="minorHAnsi"/>
              </w:rPr>
            </w:pPr>
            <w:r w:rsidRPr="003D167F">
              <w:rPr>
                <w:rFonts w:cstheme="minorHAnsi"/>
              </w:rPr>
              <w:t>§ 44 Schutz geschützter Arten</w:t>
            </w:r>
          </w:p>
        </w:tc>
      </w:tr>
      <w:tr w:rsidR="003D167F" w:rsidRPr="003D167F" w14:paraId="779D4402" w14:textId="77777777" w:rsidTr="003D167F">
        <w:trPr>
          <w:tblCellSpacing w:w="15" w:type="dxa"/>
        </w:trPr>
        <w:tc>
          <w:tcPr>
            <w:tcW w:w="0" w:type="auto"/>
            <w:vAlign w:val="center"/>
            <w:hideMark/>
          </w:tcPr>
          <w:p w14:paraId="13CBC19E" w14:textId="77777777" w:rsidR="003D167F" w:rsidRPr="003D167F" w:rsidRDefault="003D167F">
            <w:pPr>
              <w:rPr>
                <w:rFonts w:cstheme="minorHAnsi"/>
              </w:rPr>
            </w:pPr>
            <w:r w:rsidRPr="003D167F">
              <w:rPr>
                <w:rFonts w:cstheme="minorHAnsi"/>
              </w:rPr>
              <w:t>Umweltbundesamt</w:t>
            </w:r>
          </w:p>
        </w:tc>
        <w:tc>
          <w:tcPr>
            <w:tcW w:w="0" w:type="auto"/>
            <w:vAlign w:val="center"/>
            <w:hideMark/>
          </w:tcPr>
          <w:p w14:paraId="0ACF9242" w14:textId="77777777" w:rsidR="003D167F" w:rsidRPr="003D167F" w:rsidRDefault="003D167F">
            <w:pPr>
              <w:rPr>
                <w:rFonts w:cstheme="minorHAnsi"/>
              </w:rPr>
            </w:pPr>
            <w:r w:rsidRPr="003D167F">
              <w:rPr>
                <w:rFonts w:cstheme="minorHAnsi"/>
              </w:rPr>
              <w:t>Auswirkungen von Windkraft auf Wasserhaushalt und Ökosysteme</w:t>
            </w:r>
          </w:p>
        </w:tc>
      </w:tr>
      <w:tr w:rsidR="003D167F" w:rsidRPr="003D167F" w14:paraId="7BC87D21" w14:textId="77777777" w:rsidTr="003D167F">
        <w:trPr>
          <w:tblCellSpacing w:w="15" w:type="dxa"/>
        </w:trPr>
        <w:tc>
          <w:tcPr>
            <w:tcW w:w="0" w:type="auto"/>
            <w:vAlign w:val="center"/>
            <w:hideMark/>
          </w:tcPr>
          <w:p w14:paraId="6746E820" w14:textId="77777777" w:rsidR="003D167F" w:rsidRPr="003D167F" w:rsidRDefault="003D167F">
            <w:pPr>
              <w:rPr>
                <w:rFonts w:cstheme="minorHAnsi"/>
              </w:rPr>
            </w:pPr>
            <w:r w:rsidRPr="003D167F">
              <w:rPr>
                <w:rFonts w:cstheme="minorHAnsi"/>
              </w:rPr>
              <w:t>Bundesnetzagentur</w:t>
            </w:r>
          </w:p>
        </w:tc>
        <w:tc>
          <w:tcPr>
            <w:tcW w:w="0" w:type="auto"/>
            <w:vAlign w:val="center"/>
            <w:hideMark/>
          </w:tcPr>
          <w:p w14:paraId="264406F1" w14:textId="77777777" w:rsidR="003D167F" w:rsidRPr="003D167F" w:rsidRDefault="003D167F">
            <w:pPr>
              <w:rPr>
                <w:rFonts w:cstheme="minorHAnsi"/>
              </w:rPr>
            </w:pPr>
            <w:r w:rsidRPr="003D167F">
              <w:rPr>
                <w:rFonts w:cstheme="minorHAnsi"/>
              </w:rPr>
              <w:t>Bericht zu Windkraft und Umweltauswirkungen</w:t>
            </w:r>
          </w:p>
        </w:tc>
      </w:tr>
      <w:tr w:rsidR="003D167F" w:rsidRPr="003D167F" w14:paraId="43C81D62" w14:textId="77777777" w:rsidTr="003D167F">
        <w:trPr>
          <w:tblCellSpacing w:w="15" w:type="dxa"/>
        </w:trPr>
        <w:tc>
          <w:tcPr>
            <w:tcW w:w="0" w:type="auto"/>
            <w:vAlign w:val="center"/>
            <w:hideMark/>
          </w:tcPr>
          <w:p w14:paraId="55755BDD" w14:textId="77777777" w:rsidR="003D167F" w:rsidRPr="003D167F" w:rsidRDefault="003D167F">
            <w:pPr>
              <w:rPr>
                <w:rFonts w:cstheme="minorHAnsi"/>
              </w:rPr>
            </w:pPr>
            <w:r w:rsidRPr="003D167F">
              <w:rPr>
                <w:rFonts w:cstheme="minorHAnsi"/>
              </w:rPr>
              <w:t>8.2 Consulting AG</w:t>
            </w:r>
          </w:p>
        </w:tc>
        <w:tc>
          <w:tcPr>
            <w:tcW w:w="0" w:type="auto"/>
            <w:vAlign w:val="center"/>
            <w:hideMark/>
          </w:tcPr>
          <w:p w14:paraId="54C1EE10" w14:textId="77777777" w:rsidR="003D167F" w:rsidRDefault="003D167F">
            <w:pPr>
              <w:rPr>
                <w:rFonts w:cstheme="minorHAnsi"/>
              </w:rPr>
            </w:pPr>
            <w:r w:rsidRPr="003D167F">
              <w:rPr>
                <w:rFonts w:cstheme="minorHAnsi"/>
              </w:rPr>
              <w:t>Havarie-Risiken und Gefährdungsbeurteilungen im Wasserschutzgebiet</w:t>
            </w:r>
          </w:p>
          <w:p w14:paraId="12521750" w14:textId="7D5CE0D6" w:rsidR="003D167F" w:rsidRPr="003D167F" w:rsidRDefault="003D167F">
            <w:pPr>
              <w:rPr>
                <w:rFonts w:cstheme="minorHAnsi"/>
                <w:u w:val="single"/>
              </w:rPr>
            </w:pPr>
            <w:r w:rsidRPr="003D167F">
              <w:rPr>
                <w:rFonts w:cstheme="minorHAnsi"/>
                <w:u w:val="single"/>
              </w:rPr>
              <w:t>https://windenergietage.de/2024/wp-content/uploads/sites/9/2018/01/32WET05_F25_1830_8.2ConsultingAG.pdf</w:t>
            </w:r>
          </w:p>
        </w:tc>
      </w:tr>
    </w:tbl>
    <w:p w14:paraId="201D6E79" w14:textId="77777777" w:rsidR="007405C2" w:rsidRPr="00FB0A30" w:rsidRDefault="007405C2" w:rsidP="003D167F">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43FE" w14:textId="77777777" w:rsidR="009F3263" w:rsidRDefault="009F3263" w:rsidP="00223318">
      <w:pPr>
        <w:spacing w:after="0" w:line="240" w:lineRule="auto"/>
      </w:pPr>
      <w:r>
        <w:separator/>
      </w:r>
    </w:p>
  </w:endnote>
  <w:endnote w:type="continuationSeparator" w:id="0">
    <w:p w14:paraId="44C1191C" w14:textId="77777777" w:rsidR="009F3263" w:rsidRDefault="009F3263"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95FA" w14:textId="77777777" w:rsidR="009F3263" w:rsidRDefault="009F3263" w:rsidP="00223318">
      <w:pPr>
        <w:spacing w:after="0" w:line="240" w:lineRule="auto"/>
      </w:pPr>
      <w:r>
        <w:separator/>
      </w:r>
    </w:p>
  </w:footnote>
  <w:footnote w:type="continuationSeparator" w:id="0">
    <w:p w14:paraId="31BF171C" w14:textId="77777777" w:rsidR="009F3263" w:rsidRDefault="009F3263"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9"/>
  </w:num>
  <w:num w:numId="2" w16cid:durableId="340359382">
    <w:abstractNumId w:val="16"/>
  </w:num>
  <w:num w:numId="3" w16cid:durableId="215514967">
    <w:abstractNumId w:val="23"/>
  </w:num>
  <w:num w:numId="4" w16cid:durableId="1968704837">
    <w:abstractNumId w:val="20"/>
  </w:num>
  <w:num w:numId="5" w16cid:durableId="1069696704">
    <w:abstractNumId w:val="5"/>
  </w:num>
  <w:num w:numId="6" w16cid:durableId="1516459990">
    <w:abstractNumId w:val="1"/>
  </w:num>
  <w:num w:numId="7" w16cid:durableId="798694254">
    <w:abstractNumId w:val="17"/>
  </w:num>
  <w:num w:numId="8" w16cid:durableId="1929191449">
    <w:abstractNumId w:val="2"/>
  </w:num>
  <w:num w:numId="9" w16cid:durableId="204222539">
    <w:abstractNumId w:val="18"/>
  </w:num>
  <w:num w:numId="10" w16cid:durableId="1098677334">
    <w:abstractNumId w:val="12"/>
  </w:num>
  <w:num w:numId="11" w16cid:durableId="632834521">
    <w:abstractNumId w:val="15"/>
  </w:num>
  <w:num w:numId="12" w16cid:durableId="887641414">
    <w:abstractNumId w:val="8"/>
  </w:num>
  <w:num w:numId="13" w16cid:durableId="2115518454">
    <w:abstractNumId w:val="9"/>
  </w:num>
  <w:num w:numId="14" w16cid:durableId="1675762073">
    <w:abstractNumId w:val="13"/>
  </w:num>
  <w:num w:numId="15" w16cid:durableId="285351962">
    <w:abstractNumId w:val="22"/>
  </w:num>
  <w:num w:numId="16" w16cid:durableId="1422606512">
    <w:abstractNumId w:val="21"/>
  </w:num>
  <w:num w:numId="17" w16cid:durableId="527764302">
    <w:abstractNumId w:val="14"/>
  </w:num>
  <w:num w:numId="18" w16cid:durableId="1690792524">
    <w:abstractNumId w:val="24"/>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1"/>
  </w:num>
  <w:num w:numId="24" w16cid:durableId="877163465">
    <w:abstractNumId w:val="0"/>
  </w:num>
  <w:num w:numId="25" w16cid:durableId="1500347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D2307"/>
    <w:rsid w:val="002E21D1"/>
    <w:rsid w:val="002E4F81"/>
    <w:rsid w:val="003007A3"/>
    <w:rsid w:val="00302528"/>
    <w:rsid w:val="003035C9"/>
    <w:rsid w:val="003C3DB7"/>
    <w:rsid w:val="003D167F"/>
    <w:rsid w:val="003D518C"/>
    <w:rsid w:val="004B02FE"/>
    <w:rsid w:val="004E5333"/>
    <w:rsid w:val="005223F5"/>
    <w:rsid w:val="00527F9D"/>
    <w:rsid w:val="00533447"/>
    <w:rsid w:val="00541D8C"/>
    <w:rsid w:val="005A0737"/>
    <w:rsid w:val="005C3017"/>
    <w:rsid w:val="00632A05"/>
    <w:rsid w:val="006442CB"/>
    <w:rsid w:val="0067247D"/>
    <w:rsid w:val="006B4E04"/>
    <w:rsid w:val="007405C2"/>
    <w:rsid w:val="00744176"/>
    <w:rsid w:val="00747973"/>
    <w:rsid w:val="00757220"/>
    <w:rsid w:val="00762636"/>
    <w:rsid w:val="00776F0F"/>
    <w:rsid w:val="00792A57"/>
    <w:rsid w:val="0080723E"/>
    <w:rsid w:val="00863D47"/>
    <w:rsid w:val="008813F4"/>
    <w:rsid w:val="008A7972"/>
    <w:rsid w:val="008C0879"/>
    <w:rsid w:val="008C697F"/>
    <w:rsid w:val="008E4CE1"/>
    <w:rsid w:val="008E4F8D"/>
    <w:rsid w:val="00903C07"/>
    <w:rsid w:val="00956EFE"/>
    <w:rsid w:val="00972F55"/>
    <w:rsid w:val="00983B52"/>
    <w:rsid w:val="009850B1"/>
    <w:rsid w:val="009B614A"/>
    <w:rsid w:val="009F3263"/>
    <w:rsid w:val="00A3466A"/>
    <w:rsid w:val="00A50C96"/>
    <w:rsid w:val="00A5787B"/>
    <w:rsid w:val="00AA37C7"/>
    <w:rsid w:val="00B13FA1"/>
    <w:rsid w:val="00B27B34"/>
    <w:rsid w:val="00B45E75"/>
    <w:rsid w:val="00B7775A"/>
    <w:rsid w:val="00B92B49"/>
    <w:rsid w:val="00BA4ABE"/>
    <w:rsid w:val="00BC4D5E"/>
    <w:rsid w:val="00C337F6"/>
    <w:rsid w:val="00C914F0"/>
    <w:rsid w:val="00C9793A"/>
    <w:rsid w:val="00CF02CC"/>
    <w:rsid w:val="00D33741"/>
    <w:rsid w:val="00D560E3"/>
    <w:rsid w:val="00D918DC"/>
    <w:rsid w:val="00DA4633"/>
    <w:rsid w:val="00E82168"/>
    <w:rsid w:val="00EA0AC9"/>
    <w:rsid w:val="00EA135B"/>
    <w:rsid w:val="00EE3758"/>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3869</Characters>
  <DocSecurity>0</DocSecurity>
  <Lines>101</Lines>
  <Paragraphs>43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2025-02-01T18:00:00Z</dcterms:created>
  <dcterms:modified xsi:type="dcterms:W3CDTF">2025-02-07T07:54:00Z</dcterms:modified>
  <cp:category/>
</cp:coreProperties>
</file>